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1" w:rsidRPr="00A05C58" w:rsidRDefault="00A01CAB" w:rsidP="00A05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5C58" w:rsidRPr="00A05C58">
        <w:rPr>
          <w:rFonts w:ascii="Times New Roman" w:hAnsi="Times New Roman" w:cs="Times New Roman"/>
          <w:sz w:val="28"/>
          <w:szCs w:val="28"/>
        </w:rPr>
        <w:t>уководство по соблюдению обязательных т</w:t>
      </w:r>
      <w:r>
        <w:rPr>
          <w:rFonts w:ascii="Times New Roman" w:hAnsi="Times New Roman" w:cs="Times New Roman"/>
          <w:sz w:val="28"/>
          <w:szCs w:val="28"/>
        </w:rPr>
        <w:t>ребований пожарной безопасности.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3030"/>
        <w:gridCol w:w="3795"/>
        <w:gridCol w:w="2910"/>
        <w:gridCol w:w="4607"/>
      </w:tblGrid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Типовое нарушение требований пожарной безопасности</w:t>
            </w:r>
          </w:p>
        </w:tc>
        <w:tc>
          <w:tcPr>
            <w:tcW w:w="3402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Разъяснение возможных мероприятий по устранению</w:t>
            </w:r>
          </w:p>
        </w:tc>
        <w:tc>
          <w:tcPr>
            <w:tcW w:w="2976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Причины возникновения типовых нарушений</w:t>
            </w:r>
          </w:p>
        </w:tc>
        <w:tc>
          <w:tcPr>
            <w:tcW w:w="4820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Руководство по соблюдению обязательных требований</w:t>
            </w:r>
          </w:p>
        </w:tc>
      </w:tr>
      <w:tr w:rsidR="00A04281" w:rsidRPr="00047AAB" w:rsidTr="006310C2">
        <w:trPr>
          <w:jc w:val="center"/>
        </w:trPr>
        <w:tc>
          <w:tcPr>
            <w:tcW w:w="15134" w:type="dxa"/>
            <w:gridSpan w:val="5"/>
          </w:tcPr>
          <w:p w:rsidR="00A04281" w:rsidRPr="00047AAB" w:rsidRDefault="00A04281" w:rsidP="00EC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Эвакуационные пути и выходы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Несоответствие геометрических параметров эвакуационных путей и выходов установленным требованиям нормативных документов по пожарной безопасности (ширина, длина, и т.п.), а также количества эвакуационных выходов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Приведение геометрических параметров эвакуационных путей и выходов установленным требованиям.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2. Проведение расчета по оценке пожарного риска 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Высокий уровень издержек по соблюдению обязательного требования по сравнению с уровнем возможной ответственности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2. Невозможность внесения изменений в конструктивные особенности здания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частью 1 статьи 6 Федерального закона от 22 июля 2008 года № 123-ФЗ «Технический регламент о требованиях пожарной безопасности» (далее – Технический регламент):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Привести эвакуационные пути и выходы в соответствие установленным требованиям.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2. Провести расчет по оценке пожарного риска при существующих геометрических параметрах и количестве по методикам, утвержденным МЧС России. При обеспечении допустимого уровня пожарного риска, установленного Техническим регламентом, допускается сохранить существующие параметры эвакуационных путей и выходов.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Оборудование дверей эвакуационных выходов устройствами, препятствующими их открыванию изнутри без ключа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Запоры на дверях эвакуационных выходов должны обеспечивать возможность их свободного открывания изнутри без ключа 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r w:rsidR="00A01CAB"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со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Защита имущества от внешних посягательств.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Необходимо оборудовать двери эвакуационных выходов запорами, открываемыми изнутри без использования ключа.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Возможно оборудовать указанные двери электромагнитными замками, открывание которых при пожаре осуществляется автоматически при срабатывании системы автоматической пожарной сигнализации.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Отделка путей эвакуации материалами, применение которых на путях эвакуации не допускается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выполнить отделку путей эвакуации в здании материалами классов пожарной опасности, соответствующих требованиям таблиц 3, 28 приложения к Техническому регламенту  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устройств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дверей лестничных клеток, замена армированного остекления дверей лестничных клеток на обычное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Двери лестничных клеток должны быть оборудованы устройствами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и уплотнениями в притворах.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Запрещается демонтировать данные устройства, а также эксплуатировать их в разобранном состоянии. 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Запрещается заменять армированное стекло обычным в остеклении дверей и фрамуг.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оборудовать двери лестничных клеток устройствами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и уплотнениями в притворах.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случае, если остекление дверей предусмотрено в армированном исполнении, заменять армированные стекла возможно только на такие же армированные, либо необходимо заменить остекленную дверь на глухую.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Установка на путях эвакуации подъемно-опускных, вращающихся или раздвижных дверей, турникетов.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На путях эвакуации не допускается устанавливать раздвижные и подъемно-опускные двери и ворота. 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При устройстве таких </w:t>
            </w:r>
            <w:r w:rsidR="006A61DF" w:rsidRPr="00047AAB">
              <w:rPr>
                <w:rFonts w:ascii="Times New Roman" w:eastAsia="Times New Roman" w:hAnsi="Times New Roman"/>
                <w:sz w:val="24"/>
                <w:szCs w:val="24"/>
              </w:rPr>
              <w:t>дверей необходимо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предусмотреть возможность вручную открыть их изнутри и заблокировать в открытом состоянии.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Вращающиеся двери и турникеты должны иметь технические решения, позволяющие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(подпункт «а» пункта 36 Правил противопожарного режима в РФ)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Хранение на путях эвакуации и под лестничными маршами предметов, оборудования и т.п.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Запрещается: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предметами;</w:t>
            </w:r>
          </w:p>
          <w:p w:rsidR="00A04281" w:rsidRPr="00047AAB" w:rsidRDefault="00A04281" w:rsidP="00836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r w:rsidR="00A01CAB"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со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Пренебрежительное отношение к требованиям пожарной безопасности.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На эвакуационных путях и выходах (в том числе в проходах, коридорах, тамбурах, галереях, лифтовых холлах, лестничных площадках, маршах лестниц, дверях, эвакуационных люках) не должны размещаться </w:t>
            </w:r>
            <w:r w:rsidR="00A01CAB" w:rsidRPr="00047AAB">
              <w:rPr>
                <w:rFonts w:ascii="Times New Roman" w:eastAsia="Times New Roman" w:hAnsi="Times New Roman"/>
                <w:sz w:val="24"/>
                <w:szCs w:val="24"/>
              </w:rPr>
              <w:t>какие-либо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предметы, оборудование и т.п.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Устройство на путях эвакуации перепадов высот пола менее 45 см, не оборудованных пандусом или не менее чем 3 ступенями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 допускается устраивать на путях эвакуации перепады высот пола менее 45 см, не оборудованных пандусом с уклоном не более чем 1:6 или не менее чем 3 ступенями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частью 1 статьи 6 Технического регламента: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Оборудовать на всю ширину перепады высот пола менее 45 см пандусом с уклоном не более чем 1:6 или не менее чем 3 ступенями.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2. Провести расчет по оценке пожарного риска с учетом наличия перепада высот пола по методикам, утвержденным МЧС России. При обеспечении допустимого уровня пожарного риска, установленного Техническим регламентом, допускается сохранить существующие параметры эвакуационных путей и выходов.</w:t>
            </w:r>
          </w:p>
        </w:tc>
      </w:tr>
      <w:tr w:rsidR="006A61DF" w:rsidRPr="00047AAB" w:rsidTr="006310C2">
        <w:trPr>
          <w:jc w:val="center"/>
        </w:trPr>
        <w:tc>
          <w:tcPr>
            <w:tcW w:w="817" w:type="dxa"/>
            <w:vAlign w:val="center"/>
          </w:tcPr>
          <w:p w:rsidR="006A61DF" w:rsidRPr="00047AAB" w:rsidRDefault="006A61DF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A61DF" w:rsidRPr="00047AAB" w:rsidRDefault="006A61DF" w:rsidP="006A6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 защиты не оборудован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эвакуационным освещением на путях эвакуации</w:t>
            </w:r>
          </w:p>
        </w:tc>
        <w:tc>
          <w:tcPr>
            <w:tcW w:w="3402" w:type="dxa"/>
          </w:tcPr>
          <w:p w:rsidR="006A61DF" w:rsidRPr="006A61DF" w:rsidRDefault="006A61DF" w:rsidP="006A6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1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Эвакуационное освещение должно находиться в круглосуточном </w:t>
            </w:r>
            <w:r w:rsidRPr="006A61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режиме работы или включаться автоматически при прекращении электропитания рабочего освещения.</w:t>
            </w:r>
            <w:r w:rsidRPr="006A61DF">
              <w:rPr>
                <w:rFonts w:ascii="Times New Roman" w:eastAsia="Times New Roman" w:hAnsi="Times New Roman"/>
                <w:sz w:val="24"/>
                <w:szCs w:val="24"/>
              </w:rPr>
              <w:br/>
              <w:t>Светильники аварийного освещения должны отличаться от светильников рабочего освещения знаками или окраской.</w:t>
            </w:r>
          </w:p>
          <w:p w:rsidR="006A61DF" w:rsidRPr="00047AAB" w:rsidRDefault="006A61DF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1DF" w:rsidRPr="00047AAB" w:rsidRDefault="006A61DF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1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Неосведомленность о данном требовании </w:t>
            </w:r>
            <w:r w:rsidRPr="006A61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6A61DF" w:rsidRDefault="00C64D09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соответствии с частью 1 статьи 6 Технического регламента:</w:t>
            </w:r>
          </w:p>
          <w:p w:rsidR="00C64D09" w:rsidRPr="00C64D09" w:rsidRDefault="00C64D09" w:rsidP="00C64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зданиях и сооружениях на путях эвакуации следует предусматривать аварийное </w:t>
            </w:r>
            <w:r w:rsidRPr="00C64D09">
              <w:rPr>
                <w:rStyle w:val="searchres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освещение</w:t>
            </w:r>
            <w:r w:rsidRPr="00C64D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требованиями </w:t>
            </w:r>
            <w:hyperlink r:id="rId5" w:anchor="7D20K3" w:history="1">
              <w:r w:rsidRPr="00C64D0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 52.13330</w:t>
              </w:r>
            </w:hyperlink>
            <w:r w:rsidRPr="00C6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04281" w:rsidRPr="00047AAB" w:rsidTr="006310C2">
        <w:trPr>
          <w:jc w:val="center"/>
        </w:trPr>
        <w:tc>
          <w:tcPr>
            <w:tcW w:w="15134" w:type="dxa"/>
            <w:gridSpan w:val="5"/>
          </w:tcPr>
          <w:p w:rsidR="00A04281" w:rsidRPr="00047AAB" w:rsidRDefault="00A04281" w:rsidP="00EC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Средства противопожарной защиты зданий и сооружений</w:t>
            </w:r>
          </w:p>
        </w:tc>
      </w:tr>
      <w:tr w:rsidR="00C64D09" w:rsidRPr="00047AAB" w:rsidTr="006310C2">
        <w:trPr>
          <w:jc w:val="center"/>
        </w:trPr>
        <w:tc>
          <w:tcPr>
            <w:tcW w:w="817" w:type="dxa"/>
            <w:vAlign w:val="center"/>
          </w:tcPr>
          <w:p w:rsidR="00C64D09" w:rsidRDefault="00C64D09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C64D09" w:rsidRPr="00047AAB" w:rsidRDefault="00C64D09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(неисправность) систем </w:t>
            </w:r>
            <w:r w:rsidR="00836F3D">
              <w:rPr>
                <w:rFonts w:ascii="Times New Roman" w:eastAsia="Times New Roman" w:hAnsi="Times New Roman"/>
                <w:sz w:val="24"/>
                <w:szCs w:val="24"/>
              </w:rPr>
              <w:t>автоматической пожарной сигнализации</w:t>
            </w:r>
          </w:p>
        </w:tc>
        <w:tc>
          <w:tcPr>
            <w:tcW w:w="3402" w:type="dxa"/>
          </w:tcPr>
          <w:p w:rsidR="00C64D09" w:rsidRPr="00047AAB" w:rsidRDefault="00836F3D" w:rsidP="0083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>дания и его отдельны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защищаются 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автоматическими установками пожаротушения и (или) системой пожарной сигнализации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2, 3, 4</w:t>
            </w: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 486.1311500.2020</w:t>
            </w:r>
          </w:p>
        </w:tc>
        <w:tc>
          <w:tcPr>
            <w:tcW w:w="2976" w:type="dxa"/>
          </w:tcPr>
          <w:p w:rsidR="00C64D09" w:rsidRPr="00047AAB" w:rsidRDefault="00836F3D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6F3D">
              <w:rPr>
                <w:rFonts w:ascii="Times New Roman" w:eastAsia="Times New Roman" w:hAnsi="Times New Roman"/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</w:tcPr>
          <w:p w:rsidR="006310C2" w:rsidRPr="006310C2" w:rsidRDefault="006310C2" w:rsidP="00631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частью 1 статьи 6 Технического регламента:</w:t>
            </w:r>
          </w:p>
          <w:p w:rsidR="006310C2" w:rsidRPr="006310C2" w:rsidRDefault="006310C2" w:rsidP="00631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0C2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Оборудовать здание автоматической установкой пожарной сигнализацией согласно требованиям </w:t>
            </w:r>
          </w:p>
          <w:p w:rsidR="006310C2" w:rsidRPr="006310C2" w:rsidRDefault="006310C2" w:rsidP="006310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 w:cs="Times New Roman"/>
                <w:sz w:val="24"/>
                <w:szCs w:val="24"/>
              </w:rPr>
              <w:t>СП 486.1311500.2020</w:t>
            </w:r>
          </w:p>
          <w:p w:rsidR="006310C2" w:rsidRPr="006310C2" w:rsidRDefault="006310C2" w:rsidP="006310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C64D09" w:rsidRPr="00047AAB" w:rsidRDefault="006310C2" w:rsidP="00631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/>
                <w:sz w:val="24"/>
                <w:szCs w:val="24"/>
              </w:rPr>
              <w:t>2. Провести расчет по оценке пожарного риска, учитывая отсутствие систем пожаротушения, по методикам, утвержденным МЧС России. При обеспечении допустимого уровня пожарного риска, установленного Техническим регламентом, допускается не оборудовать здание системой пожаротушения.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6310C2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04281"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(неисправность) систем вытяжной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вентиляции из помещений</w:t>
            </w:r>
          </w:p>
        </w:tc>
        <w:tc>
          <w:tcPr>
            <w:tcW w:w="3402" w:type="dxa"/>
          </w:tcPr>
          <w:p w:rsidR="00A04281" w:rsidRPr="00047AAB" w:rsidRDefault="00A04281" w:rsidP="0083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Из помещений, </w:t>
            </w:r>
            <w:r w:rsidR="00A01CAB" w:rsidRPr="00047AAB">
              <w:rPr>
                <w:rFonts w:ascii="Times New Roman" w:eastAsia="Times New Roman" w:hAnsi="Times New Roman"/>
                <w:sz w:val="24"/>
                <w:szCs w:val="24"/>
              </w:rPr>
              <w:t>предусмотренных п.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7.2 Свода правил СП 7.13130.2013,</w:t>
            </w:r>
            <w:r w:rsidR="00836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следует предусматривать удаление продуктов горения при пожаре системами вытяжной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вентиляции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частью 1 статьи 6 Техническ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Предусмотреть естественное проветривание помещений при пожаре согласно требованиям СП 7.13130.2013.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2. Оборудовать помещения вытяжной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вентиляцией.</w:t>
            </w:r>
          </w:p>
          <w:p w:rsidR="006310C2" w:rsidRDefault="006310C2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10C2" w:rsidRDefault="006310C2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3. Провести расчет по оценке пожарного риска, учитывая отсутствие систем вытяжной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вентиляции из помещений, по методикам, утвержденным МЧС России. При обеспечении допустимого уровня пожарного риска, установленного Техническим регламентом, допускается не оборудовать здание системами вытяжной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вентиляции.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6310C2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  <w:r w:rsidR="00A04281"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(неисправность) автоматической установки пожаротушения </w:t>
            </w:r>
          </w:p>
        </w:tc>
        <w:tc>
          <w:tcPr>
            <w:tcW w:w="3402" w:type="dxa"/>
          </w:tcPr>
          <w:p w:rsidR="00A04281" w:rsidRPr="00047AAB" w:rsidRDefault="00836F3D" w:rsidP="00631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Здания, сооруже</w:t>
            </w:r>
            <w:r w:rsidR="00A04281"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ния и помещения, перечисленные в </w:t>
            </w:r>
            <w:r w:rsidR="006310C2" w:rsidRPr="006310C2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6310C2" w:rsidRPr="006310C2">
              <w:rPr>
                <w:rFonts w:ascii="Times New Roman" w:eastAsia="Times New Roman" w:hAnsi="Times New Roman"/>
                <w:sz w:val="24"/>
                <w:szCs w:val="24"/>
              </w:rPr>
              <w:t xml:space="preserve"> 1, 2, 3, 4 СП 486.1311500.2020</w:t>
            </w:r>
            <w:r w:rsidR="00A04281" w:rsidRPr="00047AAB">
              <w:rPr>
                <w:rFonts w:ascii="Times New Roman" w:eastAsia="Times New Roman" w:hAnsi="Times New Roman"/>
                <w:sz w:val="24"/>
                <w:szCs w:val="24"/>
              </w:rPr>
              <w:t>, подлежат оборудованию автоматическими установками пожаротушения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</w:tcPr>
          <w:p w:rsidR="006310C2" w:rsidRPr="006310C2" w:rsidRDefault="006310C2" w:rsidP="00631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0C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частью 1 статьи 6 Технического регламента: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1. Оборудовать здание автоматической установкой пожаротушения согласно требованиям </w:t>
            </w:r>
            <w:r w:rsidR="006310C2" w:rsidRPr="006310C2">
              <w:rPr>
                <w:rFonts w:ascii="Times New Roman" w:eastAsia="Times New Roman" w:hAnsi="Times New Roman"/>
                <w:sz w:val="24"/>
                <w:szCs w:val="24"/>
              </w:rPr>
              <w:t>СП 486.1311500.2020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2. Провести расчет по оценке пожарного риска, учитывая отсутствие систем пожаротушения, по методикам, утвержденным МЧС России. При обеспечении допустимого уровня пожарного риска, установленного Техническим регламентом, допускается не оборудовать здание системой пожаротушения.</w:t>
            </w:r>
          </w:p>
        </w:tc>
      </w:tr>
      <w:tr w:rsidR="00A04281" w:rsidRPr="00047AAB" w:rsidTr="006310C2">
        <w:trPr>
          <w:jc w:val="center"/>
        </w:trPr>
        <w:tc>
          <w:tcPr>
            <w:tcW w:w="15134" w:type="dxa"/>
            <w:gridSpan w:val="5"/>
          </w:tcPr>
          <w:p w:rsidR="00A04281" w:rsidRPr="00047AAB" w:rsidRDefault="00A04281" w:rsidP="00EC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Предотвращение распространения пожара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Помещения различного класса функциональной пожарной опасности не разделены ограждающими конструкциями с нормируемым пределом огнестойкости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Части зданий, сооружений, пожарных отсеков,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пожарной опасности или противопожарными преградами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Высокий уровень издержек по соблюдению обязательного требования по сравнению с уровнем возможной ответственности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требованиями части 1 статьи 88 Технического регламента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зданий, сооружений, пожарных отсеков, а также помещения различных классов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функциональной пожарной опасности должны быть разделены между собой 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Несоответствие пределов огнестойкости элементов заполнения проемов в противопожарных преградах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Элементы заполнения проемов в противопожарных преградах должны иметь предел огнестойкости соответствующий типу противопожарной преграды согласно таблице 23 приложения к Техническому регламенту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Выполнить элементы заполнения проемов в противопожарных преградах с пределом огнестойкости, соответствующим типу противопожарной преграды согласно таблице 23 приложения к Техническому регламенту.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устройств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противопожарных дверей (ворот)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Противопожарные двери и ворота должны иметь устройства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 Противопожарные двери, ворота, шторы, люки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Неосведомленность о данном требовании пожарной безопасности  со стороны руководителей и лиц, ответственных за обеспечение пожарной безопасности объектов защиты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оборудовать противопожарные двери и ворота устройствами для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самозакрывания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 Противопожарные двери, ворота, шторы, люки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 организовано проведение проверки работоспособности противопожарных дверей с составлением акта проверки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Противопожарные двери должны находиться в исправном состоянии. Ежеквартально необходимо проводить проверку работоспособности с составлением соответствующего акта.</w:t>
            </w: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 со</w:t>
            </w:r>
            <w:proofErr w:type="gram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в нормативных документах по пожарной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безопасности сведений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порядке проведения указанного мероприятия.</w:t>
            </w: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Руководитель организации обязан обеспечить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преградах) и 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Несоответствие противопожарных расстояний между зданиями (сооружениями) требованиям нормативных документов по пожарной безопасности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Противопожарные расстояния между зданиями, сооружениями должны обеспечивать нераспространение пожара на соседние здания, сооружения. 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 со</w:t>
            </w:r>
            <w:proofErr w:type="gram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1. Противопожарные расстояния предусмотреть в соответствии с требованиями Технического регламента и Свода правил СП 4.13130.2013.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b/>
                <w:sz w:val="24"/>
                <w:szCs w:val="24"/>
              </w:rPr>
              <w:t>ИЛИ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2. Выполнить иные мероприятия, направленные на предотвращение распространения пожара между зданиями (сооружениями): возможен выбор иных противопожарных преград или их комбинаций в </w:t>
            </w:r>
            <w:proofErr w:type="spell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соответстьвии</w:t>
            </w:r>
            <w:proofErr w:type="spell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со статьей 37 Технического регламента.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Отсутствие тамбур-шлюзов с подпором воздуха при пожаре в противопожарных преградах, отделяющих помещения категорий А и Б от помещений других категорий, коридоров, лестничных клеток и лифтовых холлов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противопожарных преградах, отделяющих помещения категорий А и Б от помещений других категорий, коридоров, лестничных клеток и лифтовых холлов, должны быть предусмотрены тамбур-шлюзы с постоянным подпором воздуха.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 со</w:t>
            </w:r>
            <w:proofErr w:type="gram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Необходимо выполнить тамбур-шлюзы с подпором воздуха при пожаре в противопожарных преградах, отделяющих помещения категорий А и Б от помещений других категорий, коридоров, лестничных клеток и лифтовых холлов.</w:t>
            </w:r>
          </w:p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невозможности устройства тамбур-шлюзов в противопожарных преградах, отделяющих помещения категорий А и Б от других помещений, или противопожарных дверей, ворот, штор, люков и клапанов в противопожарных преградах, отделяющих помещения категории В от других помещений, следует предусмотреть комплекс мероприятий по 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предотвращению распространения пожара на смежные этажи и в смежные помещения</w:t>
            </w:r>
          </w:p>
        </w:tc>
      </w:tr>
      <w:tr w:rsidR="00A04281" w:rsidRPr="00047AAB" w:rsidTr="006310C2">
        <w:trPr>
          <w:jc w:val="center"/>
        </w:trPr>
        <w:tc>
          <w:tcPr>
            <w:tcW w:w="817" w:type="dxa"/>
            <w:vAlign w:val="center"/>
          </w:tcPr>
          <w:p w:rsidR="00A04281" w:rsidRPr="00047AAB" w:rsidRDefault="00A04281" w:rsidP="0063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6310C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Отсутствие в подземных этажах зданий и сооружений при входе в лифт тамбур-шлюзов 1-го типа с подпором воздуха при пожаре.</w:t>
            </w:r>
          </w:p>
        </w:tc>
        <w:tc>
          <w:tcPr>
            <w:tcW w:w="3402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подземных этажах зданий и сооружений вход в лифт должен осуществляться через тамбур-шлюзы 1-го типа с избыточным давлением воздуха при пожаре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Неосведомленность о данном требовании пожарной </w:t>
            </w:r>
            <w:proofErr w:type="gramStart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безопасности  со</w:t>
            </w:r>
            <w:proofErr w:type="gramEnd"/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руководителей и лиц, ответственных за обеспечение пожарной безопасности объектов защиты.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4281" w:rsidRPr="00047AAB" w:rsidRDefault="00A04281" w:rsidP="00EC2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AB">
              <w:rPr>
                <w:rFonts w:ascii="Times New Roman" w:eastAsia="Times New Roman" w:hAnsi="Times New Roman"/>
                <w:sz w:val="24"/>
                <w:szCs w:val="24"/>
              </w:rPr>
              <w:t>В подземных этажах зданий и сооружений при входе в лифт необходимо выполнить тамбур-шлюзы 1-го типа с избыточным давлением воздуха при пожаре.</w:t>
            </w:r>
          </w:p>
          <w:p w:rsidR="00A04281" w:rsidRPr="00047AAB" w:rsidRDefault="00A04281" w:rsidP="00EC2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4281" w:rsidRDefault="00A04281" w:rsidP="00A04281">
      <w:pPr>
        <w:pStyle w:val="a4"/>
        <w:ind w:left="1065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ind w:left="1065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ind w:left="1065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D5448">
      <w:pPr>
        <w:pStyle w:val="a4"/>
        <w:ind w:left="1065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Pr="00CE5052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Pr="00F70B9A" w:rsidRDefault="00A04281" w:rsidP="00A042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4281" w:rsidRDefault="00A04281"/>
    <w:p w:rsidR="00A04281" w:rsidRDefault="00A04281"/>
    <w:p w:rsidR="00A04281" w:rsidRDefault="00A04281"/>
    <w:sectPr w:rsidR="00A04281" w:rsidSect="00A01C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409"/>
    <w:multiLevelType w:val="hybridMultilevel"/>
    <w:tmpl w:val="176E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00C"/>
    <w:multiLevelType w:val="hybridMultilevel"/>
    <w:tmpl w:val="46F6B8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C20647"/>
    <w:multiLevelType w:val="hybridMultilevel"/>
    <w:tmpl w:val="D512CDBC"/>
    <w:lvl w:ilvl="0" w:tplc="936E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6B3F"/>
    <w:multiLevelType w:val="hybridMultilevel"/>
    <w:tmpl w:val="3986190A"/>
    <w:lvl w:ilvl="0" w:tplc="CA908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A22"/>
    <w:multiLevelType w:val="hybridMultilevel"/>
    <w:tmpl w:val="64D4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B32CE1"/>
    <w:multiLevelType w:val="hybridMultilevel"/>
    <w:tmpl w:val="7B8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0215B"/>
    <w:multiLevelType w:val="hybridMultilevel"/>
    <w:tmpl w:val="E056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1"/>
    <w:rsid w:val="00225990"/>
    <w:rsid w:val="006310C2"/>
    <w:rsid w:val="006A61DF"/>
    <w:rsid w:val="007E2A24"/>
    <w:rsid w:val="00836F3D"/>
    <w:rsid w:val="00A01CAB"/>
    <w:rsid w:val="00A04281"/>
    <w:rsid w:val="00A05C58"/>
    <w:rsid w:val="00AD5448"/>
    <w:rsid w:val="00C64D09"/>
    <w:rsid w:val="00D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B442"/>
  <w15:chartTrackingRefBased/>
  <w15:docId w15:val="{32FBE40E-1BF4-4E8A-9012-3D0B22A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81"/>
    <w:pPr>
      <w:ind w:left="720"/>
    </w:pPr>
    <w:rPr>
      <w:rFonts w:ascii="Calibri" w:eastAsia="Times New Roman" w:hAnsi="Calibri" w:cs="Calibri"/>
    </w:rPr>
  </w:style>
  <w:style w:type="paragraph" w:customStyle="1" w:styleId="1">
    <w:name w:val="Обычный1"/>
    <w:uiPriority w:val="99"/>
    <w:rsid w:val="00A04281"/>
    <w:pPr>
      <w:widowControl w:val="0"/>
      <w:spacing w:after="0" w:line="240" w:lineRule="auto"/>
      <w:ind w:left="1480" w:firstLine="6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042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result">
    <w:name w:val="search_result"/>
    <w:basedOn w:val="a0"/>
    <w:rsid w:val="00C64D09"/>
  </w:style>
  <w:style w:type="character" w:styleId="a5">
    <w:name w:val="Hyperlink"/>
    <w:basedOn w:val="a0"/>
    <w:uiPriority w:val="99"/>
    <w:unhideWhenUsed/>
    <w:rsid w:val="00C64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56054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ОГСП - Заместитель начальника отдела - Юдин О.В.</dc:creator>
  <cp:keywords/>
  <dc:description/>
  <cp:lastModifiedBy>Батуев</cp:lastModifiedBy>
  <cp:revision>7</cp:revision>
  <dcterms:created xsi:type="dcterms:W3CDTF">2017-06-26T10:27:00Z</dcterms:created>
  <dcterms:modified xsi:type="dcterms:W3CDTF">2023-02-15T04:44:00Z</dcterms:modified>
</cp:coreProperties>
</file>